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BC8C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6FE96151">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458C3BEF">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18878A0F">
      <w:pPr>
        <w:pStyle w:val="2"/>
        <w:jc w:val="both"/>
        <w:rPr>
          <w:rFonts w:hint="default" w:ascii="宋体" w:hAnsi="宋体" w:eastAsia="宋体" w:cs="宋体"/>
          <w:b w:val="0"/>
          <w:bCs w:val="0"/>
          <w:kern w:val="1"/>
          <w:sz w:val="36"/>
          <w:szCs w:val="36"/>
          <w:highlight w:val="none"/>
          <w:lang w:val="en-US" w:eastAsia="zh-CN" w:bidi="ar-SA"/>
        </w:rPr>
      </w:pPr>
      <w:r>
        <w:rPr>
          <w:rFonts w:hint="eastAsia" w:ascii="宋体" w:hAnsi="宋体" w:cs="宋体"/>
          <w:b w:val="0"/>
          <w:bCs w:val="0"/>
          <w:kern w:val="1"/>
          <w:sz w:val="36"/>
          <w:szCs w:val="36"/>
          <w:highlight w:val="none"/>
          <w:lang w:val="en-US" w:eastAsia="zh-CN"/>
        </w:rPr>
        <w:t>继电器\REL-MR-24VDC/21-21 2961192-DC24V-10A/PHOENIX</w:t>
      </w:r>
    </w:p>
    <w:p w14:paraId="087D4F9A">
      <w:pPr>
        <w:snapToGrid w:val="0"/>
        <w:spacing w:line="360" w:lineRule="auto"/>
        <w:ind w:right="-447"/>
        <w:jc w:val="center"/>
        <w:rPr>
          <w:rFonts w:hint="eastAsia" w:ascii="仿宋" w:hAnsi="仿宋" w:eastAsia="仿宋" w:cs="仿宋"/>
          <w:b w:val="0"/>
          <w:bCs/>
          <w:color w:val="auto"/>
          <w:sz w:val="36"/>
          <w:szCs w:val="36"/>
          <w:highlight w:val="none"/>
        </w:rPr>
      </w:pPr>
      <w:r>
        <w:rPr>
          <w:rFonts w:hint="eastAsia" w:ascii="仿宋" w:hAnsi="仿宋" w:eastAsia="仿宋" w:cs="仿宋"/>
          <w:b w:val="0"/>
          <w:bCs/>
          <w:color w:val="auto"/>
          <w:sz w:val="36"/>
          <w:szCs w:val="48"/>
          <w:highlight w:val="none"/>
        </w:rPr>
        <w:t>采购技术</w:t>
      </w:r>
      <w:r>
        <w:rPr>
          <w:rFonts w:hint="eastAsia" w:ascii="仿宋" w:hAnsi="仿宋" w:eastAsia="仿宋" w:cs="仿宋"/>
          <w:b w:val="0"/>
          <w:bCs/>
          <w:color w:val="auto"/>
          <w:sz w:val="36"/>
          <w:szCs w:val="48"/>
          <w:highlight w:val="none"/>
          <w:lang w:val="en-US" w:eastAsia="zh-CN"/>
        </w:rPr>
        <w:t>规格书</w:t>
      </w:r>
    </w:p>
    <w:p w14:paraId="2A594D23">
      <w:pPr>
        <w:snapToGrid w:val="0"/>
        <w:spacing w:line="360" w:lineRule="auto"/>
        <w:ind w:right="-447"/>
        <w:jc w:val="center"/>
        <w:rPr>
          <w:rFonts w:hint="eastAsia" w:ascii="仿宋" w:hAnsi="仿宋" w:eastAsia="仿宋" w:cs="仿宋"/>
          <w:b/>
          <w:color w:val="auto"/>
          <w:sz w:val="36"/>
          <w:szCs w:val="48"/>
          <w:highlight w:val="none"/>
        </w:rPr>
      </w:pPr>
    </w:p>
    <w:p w14:paraId="3955E342">
      <w:pPr>
        <w:snapToGrid w:val="0"/>
        <w:spacing w:line="360" w:lineRule="auto"/>
        <w:ind w:right="-447"/>
        <w:jc w:val="center"/>
        <w:rPr>
          <w:rFonts w:hint="eastAsia" w:ascii="仿宋" w:hAnsi="仿宋" w:eastAsia="仿宋" w:cs="仿宋"/>
          <w:b/>
          <w:color w:val="auto"/>
          <w:sz w:val="36"/>
          <w:szCs w:val="48"/>
          <w:highlight w:val="none"/>
        </w:rPr>
      </w:pPr>
    </w:p>
    <w:p w14:paraId="65259DC2">
      <w:pPr>
        <w:pStyle w:val="2"/>
        <w:rPr>
          <w:rFonts w:hint="eastAsia" w:ascii="仿宋" w:hAnsi="仿宋" w:eastAsia="仿宋" w:cs="仿宋"/>
          <w:color w:val="auto"/>
          <w:highlight w:val="none"/>
        </w:rPr>
      </w:pPr>
    </w:p>
    <w:p w14:paraId="1A301BE0">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80B72C3">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67B8AD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75E35A2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6E810B76">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4AA5211B">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5DFB205C">
      <w:pPr>
        <w:spacing w:line="360" w:lineRule="auto"/>
        <w:rPr>
          <w:rFonts w:hint="eastAsia" w:ascii="仿宋" w:hAnsi="仿宋" w:eastAsia="仿宋" w:cs="仿宋"/>
          <w:bCs/>
          <w:color w:val="auto"/>
          <w:highlight w:val="none"/>
        </w:rPr>
      </w:pPr>
    </w:p>
    <w:p w14:paraId="6D1876CB">
      <w:pPr>
        <w:spacing w:line="360" w:lineRule="auto"/>
        <w:rPr>
          <w:rFonts w:hint="eastAsia" w:ascii="仿宋" w:hAnsi="仿宋" w:eastAsia="仿宋" w:cs="仿宋"/>
          <w:bCs/>
          <w:color w:val="auto"/>
          <w:highlight w:val="none"/>
        </w:rPr>
      </w:pPr>
      <w:bookmarkStart w:id="1" w:name="_GoBack"/>
      <w:bookmarkEnd w:id="1"/>
    </w:p>
    <w:p w14:paraId="19CDBCF8">
      <w:pPr>
        <w:spacing w:line="360" w:lineRule="auto"/>
        <w:rPr>
          <w:rFonts w:hint="eastAsia" w:ascii="仿宋" w:hAnsi="仿宋" w:eastAsia="仿宋" w:cs="仿宋"/>
          <w:bCs/>
          <w:color w:val="auto"/>
          <w:highlight w:val="none"/>
        </w:rPr>
      </w:pPr>
    </w:p>
    <w:p w14:paraId="44B9B2F7">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9FE0D65">
      <w:pPr>
        <w:spacing w:line="360" w:lineRule="auto"/>
        <w:ind w:firstLine="3791" w:firstLineChars="1049"/>
        <w:rPr>
          <w:rFonts w:hint="eastAsia" w:ascii="仿宋" w:hAnsi="仿宋" w:eastAsia="仿宋" w:cs="仿宋"/>
          <w:b/>
          <w:color w:val="auto"/>
          <w:sz w:val="36"/>
          <w:szCs w:val="36"/>
          <w:highlight w:val="none"/>
        </w:rPr>
      </w:pPr>
    </w:p>
    <w:p w14:paraId="1019423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F3140F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6DCBF49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3D68B40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581EDE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7348BCE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76F1EDF">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3085506A">
      <w:pPr>
        <w:snapToGrid w:val="0"/>
        <w:spacing w:line="360" w:lineRule="auto"/>
        <w:ind w:right="-447"/>
        <w:jc w:val="both"/>
        <w:rPr>
          <w:rFonts w:hint="eastAsia" w:ascii="仿宋" w:hAnsi="仿宋" w:eastAsia="仿宋" w:cs="仿宋"/>
          <w:b/>
          <w:color w:val="auto"/>
          <w:sz w:val="28"/>
          <w:szCs w:val="28"/>
          <w:highlight w:val="none"/>
        </w:rPr>
      </w:pPr>
    </w:p>
    <w:p w14:paraId="21E9F49A">
      <w:pPr>
        <w:snapToGrid w:val="0"/>
        <w:spacing w:line="360" w:lineRule="auto"/>
        <w:ind w:right="-447"/>
        <w:jc w:val="both"/>
        <w:rPr>
          <w:rFonts w:hint="eastAsia" w:ascii="仿宋" w:hAnsi="仿宋" w:eastAsia="仿宋" w:cs="仿宋"/>
          <w:b/>
          <w:color w:val="auto"/>
          <w:sz w:val="28"/>
          <w:szCs w:val="28"/>
          <w:highlight w:val="none"/>
        </w:rPr>
      </w:pPr>
    </w:p>
    <w:p w14:paraId="350E8DAF">
      <w:pPr>
        <w:snapToGrid w:val="0"/>
        <w:spacing w:line="360" w:lineRule="auto"/>
        <w:ind w:right="-447"/>
        <w:jc w:val="both"/>
        <w:rPr>
          <w:rFonts w:hint="eastAsia" w:ascii="仿宋" w:hAnsi="仿宋" w:eastAsia="仿宋" w:cs="仿宋"/>
          <w:b/>
          <w:color w:val="auto"/>
          <w:sz w:val="28"/>
          <w:szCs w:val="28"/>
          <w:highlight w:val="none"/>
        </w:rPr>
      </w:pPr>
    </w:p>
    <w:p w14:paraId="3BC04A37">
      <w:pPr>
        <w:snapToGrid w:val="0"/>
        <w:spacing w:line="360" w:lineRule="auto"/>
        <w:ind w:right="-447"/>
        <w:jc w:val="both"/>
        <w:rPr>
          <w:rFonts w:hint="eastAsia" w:ascii="仿宋" w:hAnsi="仿宋" w:eastAsia="仿宋" w:cs="仿宋"/>
          <w:b/>
          <w:color w:val="auto"/>
          <w:sz w:val="28"/>
          <w:szCs w:val="28"/>
          <w:highlight w:val="none"/>
        </w:rPr>
      </w:pPr>
    </w:p>
    <w:p w14:paraId="160E4E61">
      <w:pPr>
        <w:snapToGrid w:val="0"/>
        <w:spacing w:line="360" w:lineRule="auto"/>
        <w:ind w:right="-447"/>
        <w:jc w:val="both"/>
        <w:rPr>
          <w:rFonts w:hint="eastAsia" w:ascii="仿宋" w:hAnsi="仿宋" w:eastAsia="仿宋" w:cs="仿宋"/>
          <w:b/>
          <w:color w:val="auto"/>
          <w:sz w:val="28"/>
          <w:szCs w:val="28"/>
          <w:highlight w:val="none"/>
        </w:rPr>
      </w:pPr>
    </w:p>
    <w:p w14:paraId="3812BAF4">
      <w:pPr>
        <w:snapToGrid w:val="0"/>
        <w:spacing w:line="360" w:lineRule="auto"/>
        <w:ind w:right="-447"/>
        <w:jc w:val="both"/>
        <w:rPr>
          <w:rFonts w:hint="eastAsia" w:ascii="仿宋" w:hAnsi="仿宋" w:eastAsia="仿宋" w:cs="仿宋"/>
          <w:b/>
          <w:color w:val="auto"/>
          <w:sz w:val="28"/>
          <w:szCs w:val="28"/>
          <w:highlight w:val="none"/>
        </w:rPr>
      </w:pPr>
    </w:p>
    <w:p w14:paraId="216324F9">
      <w:pPr>
        <w:snapToGrid w:val="0"/>
        <w:spacing w:line="360" w:lineRule="auto"/>
        <w:ind w:right="-447"/>
        <w:jc w:val="both"/>
        <w:rPr>
          <w:rFonts w:hint="eastAsia" w:ascii="仿宋" w:hAnsi="仿宋" w:eastAsia="仿宋" w:cs="仿宋"/>
          <w:b/>
          <w:color w:val="auto"/>
          <w:sz w:val="28"/>
          <w:szCs w:val="28"/>
          <w:highlight w:val="none"/>
        </w:rPr>
      </w:pPr>
    </w:p>
    <w:p w14:paraId="783FFB2A">
      <w:pPr>
        <w:snapToGrid w:val="0"/>
        <w:spacing w:line="360" w:lineRule="auto"/>
        <w:ind w:right="-447"/>
        <w:jc w:val="both"/>
        <w:rPr>
          <w:rFonts w:hint="eastAsia" w:ascii="仿宋" w:hAnsi="仿宋" w:eastAsia="仿宋" w:cs="仿宋"/>
          <w:b/>
          <w:color w:val="auto"/>
          <w:sz w:val="28"/>
          <w:szCs w:val="28"/>
          <w:highlight w:val="none"/>
        </w:rPr>
      </w:pPr>
    </w:p>
    <w:p w14:paraId="399D1B8C">
      <w:pPr>
        <w:snapToGrid w:val="0"/>
        <w:spacing w:line="360" w:lineRule="auto"/>
        <w:ind w:right="-447"/>
        <w:jc w:val="both"/>
        <w:rPr>
          <w:rFonts w:hint="eastAsia" w:ascii="仿宋" w:hAnsi="仿宋" w:eastAsia="仿宋" w:cs="仿宋"/>
          <w:b/>
          <w:color w:val="auto"/>
          <w:sz w:val="28"/>
          <w:szCs w:val="28"/>
          <w:highlight w:val="none"/>
        </w:rPr>
      </w:pPr>
    </w:p>
    <w:p w14:paraId="4BD4206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0C75F425">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继电器\REL-MR-24VDC/21-21 2961192-DC24V-10A/PHOENIX</w:t>
      </w:r>
      <w:r>
        <w:rPr>
          <w:rFonts w:hint="eastAsia" w:ascii="仿宋" w:hAnsi="仿宋" w:eastAsia="仿宋" w:cs="仿宋"/>
          <w:color w:val="auto"/>
          <w:sz w:val="21"/>
          <w:szCs w:val="21"/>
          <w:highlight w:val="none"/>
        </w:rPr>
        <w:t>采购经双方协商，达成如下技术协议：</w:t>
      </w:r>
    </w:p>
    <w:p w14:paraId="39889EED">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25A16D1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D428AB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05383993">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1192B2F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560B777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14:paraId="01A2C80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14:paraId="4C076A3A">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3E2A7123">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7398A957">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79BA78BC">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98EB0E3">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继电器\REL-MR-24VDC/21-21 2961192-DC24V-10A/PHOENIX</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1#高炉</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14:paraId="7579FD46">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14:paraId="202E406B">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w:t>
      </w:r>
      <w:r>
        <w:rPr>
          <w:rFonts w:hint="eastAsia" w:ascii="仿宋" w:hAnsi="仿宋" w:eastAsia="仿宋" w:cs="仿宋"/>
          <w:color w:val="auto"/>
          <w:sz w:val="21"/>
          <w:szCs w:val="21"/>
          <w:highlight w:val="none"/>
          <w:lang w:eastAsia="zh-CN"/>
        </w:rPr>
        <w:t>手操器相关</w:t>
      </w:r>
      <w:r>
        <w:rPr>
          <w:rFonts w:hint="eastAsia" w:ascii="仿宋" w:hAnsi="仿宋" w:eastAsia="仿宋" w:cs="仿宋"/>
          <w:color w:val="auto"/>
          <w:sz w:val="21"/>
          <w:szCs w:val="21"/>
          <w:highlight w:val="none"/>
        </w:rPr>
        <w:t>标准。</w:t>
      </w:r>
    </w:p>
    <w:p w14:paraId="18636EC8">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5669F3D1">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489EAA06">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型号：</w:t>
      </w:r>
      <w:r>
        <w:rPr>
          <w:rFonts w:hint="eastAsia" w:ascii="仿宋" w:hAnsi="仿宋" w:eastAsia="仿宋" w:cs="仿宋"/>
          <w:b w:val="0"/>
          <w:bCs w:val="0"/>
          <w:color w:val="auto"/>
          <w:sz w:val="21"/>
          <w:szCs w:val="21"/>
          <w:highlight w:val="none"/>
          <w:lang w:val="en-US" w:eastAsia="zh-CN"/>
        </w:rPr>
        <w:t xml:space="preserve">继电器\REL-MR-24VDC/21-21 2961192-DC24V-10A/PHOENIX </w:t>
      </w:r>
      <w:r>
        <w:rPr>
          <w:rFonts w:hint="eastAsia" w:ascii="仿宋" w:hAnsi="仿宋" w:eastAsia="仿宋" w:cs="仿宋"/>
          <w:color w:val="auto"/>
          <w:sz w:val="21"/>
          <w:szCs w:val="21"/>
          <w:highlight w:val="none"/>
          <w:lang w:val="en-US" w:eastAsia="zh-CN"/>
        </w:rPr>
        <w:t xml:space="preserve">               </w:t>
      </w:r>
    </w:p>
    <w:p w14:paraId="1B91F916">
      <w:pPr>
        <w:spacing w:line="360" w:lineRule="auto"/>
        <w:ind w:left="418" w:leftChars="174" w:firstLine="0" w:firstLineChars="0"/>
        <w:rPr>
          <w:rFonts w:hint="eastAsia" w:ascii="仿宋" w:hAnsi="仿宋" w:eastAsia="仿宋" w:cs="仿宋"/>
          <w:color w:val="FF0000"/>
          <w:sz w:val="21"/>
          <w:szCs w:val="21"/>
          <w:highlight w:val="none"/>
        </w:rPr>
      </w:pPr>
      <w:r>
        <w:rPr>
          <w:rFonts w:hint="eastAsia" w:ascii="仿宋" w:hAnsi="仿宋" w:eastAsia="仿宋" w:cs="仿宋"/>
          <w:color w:val="auto"/>
          <w:sz w:val="21"/>
          <w:szCs w:val="21"/>
          <w:highlight w:val="none"/>
          <w:lang w:eastAsia="zh-CN"/>
        </w:rPr>
        <w:t>②</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电压等级</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 xml:space="preserve">DC24V                              </w:t>
      </w:r>
      <w:r>
        <w:rPr>
          <w:rFonts w:hint="eastAsia" w:ascii="仿宋" w:hAnsi="仿宋" w:eastAsia="仿宋" w:cs="仿宋"/>
          <w:color w:val="FF0000"/>
          <w:sz w:val="21"/>
          <w:szCs w:val="21"/>
          <w:highlight w:val="none"/>
          <w:lang w:val="en-US" w:eastAsia="zh-CN"/>
        </w:rPr>
        <w:t xml:space="preserve">                          </w:t>
      </w:r>
    </w:p>
    <w:p w14:paraId="2E765F15">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14:paraId="777D2F57">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1.乙方对所有备件的设计、加工质量、完整性、可靠性负责。</w:t>
      </w:r>
    </w:p>
    <w:p w14:paraId="722DE2CC">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2.乙方在中标后十天内将正确的纸版和电子版如下资料提供给甲方。</w:t>
      </w:r>
    </w:p>
    <w:p w14:paraId="045A8996">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3.质保期内出现的装置质量问题，乙方免费更换。</w:t>
      </w:r>
    </w:p>
    <w:p w14:paraId="25D46E48">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4.质保期内出现的问题，乙方应积极派遣技术人员到现场配合解决。</w:t>
      </w:r>
    </w:p>
    <w:p w14:paraId="3F14531D">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5.随机资料：质检报告、出厂合格证、注意事项说明书。</w:t>
      </w:r>
    </w:p>
    <w:p w14:paraId="76F6B7EE">
      <w:pPr>
        <w:spacing w:line="360" w:lineRule="auto"/>
        <w:rPr>
          <w:rFonts w:hint="default" w:ascii="仿宋" w:hAnsi="仿宋" w:eastAsia="仿宋" w:cs="仿宋"/>
          <w:color w:val="auto"/>
          <w:sz w:val="21"/>
          <w:szCs w:val="21"/>
          <w:highlight w:val="none"/>
          <w:lang w:val="en-US" w:eastAsia="zh-CN"/>
        </w:rPr>
      </w:pPr>
    </w:p>
    <w:p w14:paraId="5F065788">
      <w:pPr>
        <w:spacing w:line="360" w:lineRule="auto"/>
        <w:ind w:firstLine="478" w:firstLineChars="228"/>
        <w:jc w:val="center"/>
        <w:rPr>
          <w:rFonts w:hint="eastAsia" w:ascii="仿宋" w:hAnsi="仿宋" w:eastAsia="仿宋" w:cs="仿宋"/>
          <w:color w:val="auto"/>
          <w:sz w:val="21"/>
          <w:szCs w:val="21"/>
          <w:highlight w:val="none"/>
          <w:lang w:eastAsia="zh-CN"/>
        </w:rPr>
      </w:pPr>
    </w:p>
    <w:p w14:paraId="44AAB4D1">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14:paraId="16518BEA">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14:paraId="0A58EF4D">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2"/>
        <w:tblW w:w="4996" w:type="pct"/>
        <w:tblInd w:w="0" w:type="dxa"/>
        <w:tblLayout w:type="autofit"/>
        <w:tblCellMar>
          <w:top w:w="0" w:type="dxa"/>
          <w:left w:w="108" w:type="dxa"/>
          <w:bottom w:w="0" w:type="dxa"/>
          <w:right w:w="108" w:type="dxa"/>
        </w:tblCellMar>
      </w:tblPr>
      <w:tblGrid>
        <w:gridCol w:w="484"/>
        <w:gridCol w:w="1047"/>
        <w:gridCol w:w="3052"/>
        <w:gridCol w:w="1080"/>
        <w:gridCol w:w="1539"/>
        <w:gridCol w:w="1109"/>
        <w:gridCol w:w="1257"/>
      </w:tblGrid>
      <w:tr w14:paraId="07409916">
        <w:tblPrEx>
          <w:tblCellMar>
            <w:top w:w="0" w:type="dxa"/>
            <w:left w:w="108" w:type="dxa"/>
            <w:bottom w:w="0" w:type="dxa"/>
            <w:right w:w="108" w:type="dxa"/>
          </w:tblCellMar>
        </w:tblPrEx>
        <w:trPr>
          <w:trHeight w:val="400" w:hRule="atLeast"/>
        </w:trPr>
        <w:tc>
          <w:tcPr>
            <w:tcW w:w="253" w:type="pct"/>
            <w:vMerge w:val="restart"/>
            <w:tcBorders>
              <w:top w:val="single" w:color="auto" w:sz="4" w:space="0"/>
              <w:left w:val="single" w:color="auto" w:sz="4" w:space="0"/>
              <w:bottom w:val="single" w:color="auto" w:sz="4" w:space="0"/>
              <w:right w:val="single" w:color="auto" w:sz="4" w:space="0"/>
            </w:tcBorders>
            <w:noWrap w:val="0"/>
            <w:vAlign w:val="center"/>
          </w:tcPr>
          <w:p w14:paraId="317B970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547" w:type="pct"/>
            <w:vMerge w:val="restart"/>
            <w:tcBorders>
              <w:top w:val="single" w:color="auto" w:sz="4" w:space="0"/>
              <w:left w:val="single" w:color="auto" w:sz="4" w:space="0"/>
              <w:bottom w:val="single" w:color="auto" w:sz="4" w:space="0"/>
              <w:right w:val="single" w:color="auto" w:sz="4" w:space="0"/>
            </w:tcBorders>
            <w:noWrap w:val="0"/>
            <w:vAlign w:val="center"/>
          </w:tcPr>
          <w:p w14:paraId="07577F6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594" w:type="pct"/>
            <w:vMerge w:val="restart"/>
            <w:tcBorders>
              <w:top w:val="single" w:color="auto" w:sz="4" w:space="0"/>
              <w:left w:val="single" w:color="auto" w:sz="4" w:space="0"/>
              <w:bottom w:val="single" w:color="auto" w:sz="4" w:space="0"/>
              <w:right w:val="single" w:color="auto" w:sz="4" w:space="0"/>
            </w:tcBorders>
            <w:noWrap w:val="0"/>
            <w:vAlign w:val="center"/>
          </w:tcPr>
          <w:p w14:paraId="4B52CBD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564" w:type="pct"/>
            <w:vMerge w:val="restart"/>
            <w:tcBorders>
              <w:top w:val="single" w:color="auto" w:sz="4" w:space="0"/>
              <w:left w:val="single" w:color="auto" w:sz="4" w:space="0"/>
              <w:bottom w:val="single" w:color="auto" w:sz="4" w:space="0"/>
              <w:right w:val="single" w:color="auto" w:sz="4" w:space="0"/>
            </w:tcBorders>
            <w:noWrap w:val="0"/>
            <w:vAlign w:val="center"/>
          </w:tcPr>
          <w:p w14:paraId="1E1B3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04" w:type="pct"/>
            <w:vMerge w:val="restart"/>
            <w:tcBorders>
              <w:top w:val="single" w:color="auto" w:sz="4" w:space="0"/>
              <w:left w:val="single" w:color="auto" w:sz="4" w:space="0"/>
              <w:bottom w:val="single" w:color="auto" w:sz="4" w:space="0"/>
              <w:right w:val="single" w:color="auto" w:sz="4" w:space="0"/>
            </w:tcBorders>
            <w:noWrap w:val="0"/>
            <w:vAlign w:val="center"/>
          </w:tcPr>
          <w:p w14:paraId="2B4169D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235" w:type="pct"/>
            <w:gridSpan w:val="2"/>
            <w:tcBorders>
              <w:top w:val="single" w:color="auto" w:sz="4" w:space="0"/>
              <w:left w:val="nil"/>
              <w:bottom w:val="single" w:color="auto" w:sz="4" w:space="0"/>
              <w:right w:val="single" w:color="auto" w:sz="4" w:space="0"/>
            </w:tcBorders>
            <w:noWrap w:val="0"/>
            <w:vAlign w:val="center"/>
          </w:tcPr>
          <w:p w14:paraId="2D4A5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478D1709">
        <w:tblPrEx>
          <w:tblCellMar>
            <w:top w:w="0" w:type="dxa"/>
            <w:left w:w="108" w:type="dxa"/>
            <w:bottom w:w="0" w:type="dxa"/>
            <w:right w:w="108" w:type="dxa"/>
          </w:tblCellMar>
        </w:tblPrEx>
        <w:trPr>
          <w:trHeight w:val="400" w:hRule="atLeast"/>
        </w:trPr>
        <w:tc>
          <w:tcPr>
            <w:tcW w:w="253" w:type="pct"/>
            <w:vMerge w:val="continue"/>
            <w:tcBorders>
              <w:top w:val="single" w:color="auto" w:sz="4" w:space="0"/>
              <w:left w:val="single" w:color="auto" w:sz="4" w:space="0"/>
              <w:bottom w:val="single" w:color="auto" w:sz="4" w:space="0"/>
              <w:right w:val="single" w:color="auto" w:sz="4" w:space="0"/>
            </w:tcBorders>
            <w:noWrap w:val="0"/>
            <w:vAlign w:val="center"/>
          </w:tcPr>
          <w:p w14:paraId="7E857545">
            <w:pPr>
              <w:widowControl/>
              <w:spacing w:line="360" w:lineRule="auto"/>
              <w:jc w:val="center"/>
              <w:rPr>
                <w:rFonts w:hint="eastAsia" w:ascii="仿宋" w:hAnsi="仿宋" w:eastAsia="仿宋" w:cs="仿宋"/>
                <w:color w:val="auto"/>
                <w:sz w:val="21"/>
                <w:szCs w:val="21"/>
                <w:highlight w:val="none"/>
              </w:rPr>
            </w:pPr>
          </w:p>
        </w:tc>
        <w:tc>
          <w:tcPr>
            <w:tcW w:w="547" w:type="pct"/>
            <w:vMerge w:val="continue"/>
            <w:tcBorders>
              <w:top w:val="single" w:color="auto" w:sz="4" w:space="0"/>
              <w:left w:val="single" w:color="auto" w:sz="4" w:space="0"/>
              <w:bottom w:val="single" w:color="auto" w:sz="4" w:space="0"/>
              <w:right w:val="single" w:color="auto" w:sz="4" w:space="0"/>
            </w:tcBorders>
            <w:noWrap w:val="0"/>
            <w:vAlign w:val="center"/>
          </w:tcPr>
          <w:p w14:paraId="2F75BD16">
            <w:pPr>
              <w:widowControl/>
              <w:spacing w:line="360" w:lineRule="auto"/>
              <w:jc w:val="center"/>
              <w:rPr>
                <w:rFonts w:hint="eastAsia" w:ascii="仿宋" w:hAnsi="仿宋" w:eastAsia="仿宋" w:cs="仿宋"/>
                <w:color w:val="auto"/>
                <w:sz w:val="21"/>
                <w:szCs w:val="21"/>
                <w:highlight w:val="none"/>
              </w:rPr>
            </w:pPr>
          </w:p>
        </w:tc>
        <w:tc>
          <w:tcPr>
            <w:tcW w:w="1594" w:type="pct"/>
            <w:vMerge w:val="continue"/>
            <w:tcBorders>
              <w:top w:val="single" w:color="auto" w:sz="4" w:space="0"/>
              <w:left w:val="single" w:color="auto" w:sz="4" w:space="0"/>
              <w:bottom w:val="single" w:color="auto" w:sz="4" w:space="0"/>
              <w:right w:val="single" w:color="auto" w:sz="4" w:space="0"/>
            </w:tcBorders>
            <w:noWrap w:val="0"/>
            <w:vAlign w:val="center"/>
          </w:tcPr>
          <w:p w14:paraId="32795D3E">
            <w:pPr>
              <w:widowControl/>
              <w:spacing w:line="360" w:lineRule="auto"/>
              <w:jc w:val="center"/>
              <w:rPr>
                <w:rFonts w:hint="eastAsia" w:ascii="仿宋" w:hAnsi="仿宋" w:eastAsia="仿宋" w:cs="仿宋"/>
                <w:color w:val="auto"/>
                <w:sz w:val="21"/>
                <w:szCs w:val="21"/>
                <w:highlight w:val="none"/>
              </w:rPr>
            </w:pPr>
          </w:p>
        </w:tc>
        <w:tc>
          <w:tcPr>
            <w:tcW w:w="564" w:type="pct"/>
            <w:vMerge w:val="continue"/>
            <w:tcBorders>
              <w:top w:val="single" w:color="auto" w:sz="4" w:space="0"/>
              <w:left w:val="single" w:color="auto" w:sz="4" w:space="0"/>
              <w:bottom w:val="single" w:color="auto" w:sz="4" w:space="0"/>
              <w:right w:val="single" w:color="auto" w:sz="4" w:space="0"/>
            </w:tcBorders>
            <w:noWrap w:val="0"/>
            <w:vAlign w:val="center"/>
          </w:tcPr>
          <w:p w14:paraId="78CFBD4F">
            <w:pPr>
              <w:widowControl/>
              <w:spacing w:line="360" w:lineRule="auto"/>
              <w:jc w:val="center"/>
              <w:rPr>
                <w:rFonts w:hint="eastAsia" w:ascii="仿宋" w:hAnsi="仿宋" w:eastAsia="仿宋" w:cs="仿宋"/>
                <w:color w:val="auto"/>
                <w:sz w:val="21"/>
                <w:szCs w:val="21"/>
                <w:highlight w:val="none"/>
              </w:rPr>
            </w:pPr>
          </w:p>
        </w:tc>
        <w:tc>
          <w:tcPr>
            <w:tcW w:w="804" w:type="pct"/>
            <w:vMerge w:val="continue"/>
            <w:tcBorders>
              <w:top w:val="single" w:color="auto" w:sz="4" w:space="0"/>
              <w:left w:val="single" w:color="auto" w:sz="4" w:space="0"/>
              <w:bottom w:val="single" w:color="auto" w:sz="4" w:space="0"/>
              <w:right w:val="single" w:color="auto" w:sz="4" w:space="0"/>
            </w:tcBorders>
            <w:noWrap w:val="0"/>
            <w:vAlign w:val="center"/>
          </w:tcPr>
          <w:p w14:paraId="4ABC77E1">
            <w:pPr>
              <w:widowControl/>
              <w:spacing w:line="360" w:lineRule="auto"/>
              <w:jc w:val="center"/>
              <w:rPr>
                <w:rFonts w:hint="eastAsia" w:ascii="仿宋" w:hAnsi="仿宋" w:eastAsia="仿宋" w:cs="仿宋"/>
                <w:color w:val="auto"/>
                <w:sz w:val="21"/>
                <w:szCs w:val="21"/>
                <w:highlight w:val="none"/>
              </w:rPr>
            </w:pPr>
          </w:p>
        </w:tc>
        <w:tc>
          <w:tcPr>
            <w:tcW w:w="579" w:type="pct"/>
            <w:tcBorders>
              <w:top w:val="nil"/>
              <w:left w:val="nil"/>
              <w:bottom w:val="single" w:color="auto" w:sz="4" w:space="0"/>
              <w:right w:val="single" w:color="auto" w:sz="4" w:space="0"/>
            </w:tcBorders>
            <w:noWrap w:val="0"/>
            <w:vAlign w:val="center"/>
          </w:tcPr>
          <w:p w14:paraId="0A0D96B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655" w:type="pct"/>
            <w:tcBorders>
              <w:top w:val="nil"/>
              <w:left w:val="nil"/>
              <w:bottom w:val="single" w:color="auto" w:sz="4" w:space="0"/>
              <w:right w:val="single" w:color="auto" w:sz="4" w:space="0"/>
            </w:tcBorders>
            <w:noWrap w:val="0"/>
            <w:vAlign w:val="center"/>
          </w:tcPr>
          <w:p w14:paraId="6108D0E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719FEDFB">
        <w:tblPrEx>
          <w:tblCellMar>
            <w:top w:w="0" w:type="dxa"/>
            <w:left w:w="108" w:type="dxa"/>
            <w:bottom w:w="0" w:type="dxa"/>
            <w:right w:w="108" w:type="dxa"/>
          </w:tblCellMar>
        </w:tblPrEx>
        <w:trPr>
          <w:trHeight w:val="573" w:hRule="atLeast"/>
        </w:trPr>
        <w:tc>
          <w:tcPr>
            <w:tcW w:w="253" w:type="pct"/>
            <w:tcBorders>
              <w:top w:val="nil"/>
              <w:left w:val="single" w:color="auto" w:sz="4" w:space="0"/>
              <w:bottom w:val="single" w:color="auto" w:sz="4" w:space="0"/>
              <w:right w:val="single" w:color="auto" w:sz="4" w:space="0"/>
            </w:tcBorders>
            <w:noWrap w:val="0"/>
            <w:vAlign w:val="center"/>
          </w:tcPr>
          <w:p w14:paraId="067D03B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547" w:type="pct"/>
            <w:tcBorders>
              <w:top w:val="nil"/>
              <w:left w:val="nil"/>
              <w:bottom w:val="single" w:color="auto" w:sz="4" w:space="0"/>
              <w:right w:val="single" w:color="auto" w:sz="4" w:space="0"/>
            </w:tcBorders>
            <w:noWrap w:val="0"/>
            <w:vAlign w:val="center"/>
          </w:tcPr>
          <w:p w14:paraId="634E836E">
            <w:pPr>
              <w:widowControl/>
              <w:spacing w:line="360" w:lineRule="auto"/>
              <w:jc w:val="center"/>
              <w:rPr>
                <w:rFonts w:hint="eastAsia" w:ascii="仿宋" w:hAnsi="仿宋" w:eastAsia="仿宋" w:cs="仿宋"/>
                <w:color w:val="auto"/>
                <w:sz w:val="21"/>
                <w:szCs w:val="21"/>
                <w:highlight w:val="none"/>
              </w:rPr>
            </w:pPr>
            <w:r>
              <w:rPr>
                <w:rFonts w:hint="eastAsia" w:ascii="宋体" w:hAnsi="宋体" w:eastAsia="宋体" w:cs="宋体"/>
                <w:b w:val="0"/>
                <w:bCs w:val="0"/>
                <w:kern w:val="1"/>
                <w:sz w:val="20"/>
                <w:szCs w:val="20"/>
                <w:highlight w:val="none"/>
              </w:rPr>
              <w:t>70126178</w:t>
            </w:r>
          </w:p>
        </w:tc>
        <w:tc>
          <w:tcPr>
            <w:tcW w:w="1594" w:type="pct"/>
            <w:tcBorders>
              <w:top w:val="nil"/>
              <w:left w:val="nil"/>
              <w:bottom w:val="single" w:color="auto" w:sz="4" w:space="0"/>
              <w:right w:val="single" w:color="auto" w:sz="4" w:space="0"/>
            </w:tcBorders>
            <w:noWrap w:val="0"/>
            <w:vAlign w:val="center"/>
          </w:tcPr>
          <w:p w14:paraId="261E38B5">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继电器\REL-MR-24VDC/21-21 2961192-DC24V-10A/PHOENIX</w:t>
            </w:r>
          </w:p>
        </w:tc>
        <w:tc>
          <w:tcPr>
            <w:tcW w:w="564" w:type="pct"/>
            <w:tcBorders>
              <w:top w:val="nil"/>
              <w:left w:val="nil"/>
              <w:bottom w:val="single" w:color="auto" w:sz="4" w:space="0"/>
              <w:right w:val="single" w:color="auto" w:sz="4" w:space="0"/>
            </w:tcBorders>
            <w:noWrap w:val="0"/>
            <w:vAlign w:val="center"/>
          </w:tcPr>
          <w:p w14:paraId="20087D85">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40</w:t>
            </w:r>
          </w:p>
        </w:tc>
        <w:tc>
          <w:tcPr>
            <w:tcW w:w="804" w:type="pct"/>
            <w:tcBorders>
              <w:top w:val="nil"/>
              <w:left w:val="nil"/>
              <w:bottom w:val="single" w:color="auto" w:sz="4" w:space="0"/>
              <w:right w:val="single" w:color="auto" w:sz="4" w:space="0"/>
            </w:tcBorders>
            <w:noWrap w:val="0"/>
            <w:vAlign w:val="center"/>
          </w:tcPr>
          <w:p w14:paraId="55C0FAC4">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579" w:type="pct"/>
            <w:tcBorders>
              <w:top w:val="nil"/>
              <w:left w:val="nil"/>
              <w:bottom w:val="single" w:color="auto" w:sz="4" w:space="0"/>
              <w:right w:val="single" w:color="auto" w:sz="4" w:space="0"/>
            </w:tcBorders>
            <w:noWrap w:val="0"/>
            <w:vAlign w:val="center"/>
          </w:tcPr>
          <w:p w14:paraId="7869D90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55" w:type="pct"/>
            <w:tcBorders>
              <w:top w:val="nil"/>
              <w:left w:val="nil"/>
              <w:bottom w:val="single" w:color="auto" w:sz="4" w:space="0"/>
              <w:right w:val="single" w:color="auto" w:sz="4" w:space="0"/>
            </w:tcBorders>
            <w:noWrap w:val="0"/>
            <w:vAlign w:val="center"/>
          </w:tcPr>
          <w:p w14:paraId="0F11DF18">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47029617">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安装方式必须与现场安装尺寸一致，确保提供的继电器与现场原装继电器能够完全的备用和互换。</w:t>
      </w:r>
    </w:p>
    <w:p w14:paraId="72222C3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4472786D">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078398B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5C92B0B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19C3BB1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A3DDE0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43F86BA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39FA37EA">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6529EF6F">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4614BD91">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25E87F94">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76D99339">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66ABE3B5">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46B47F2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14:paraId="2429D6B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2FF96E03">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0BD33B61">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012071D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103F5127">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30</w:t>
      </w:r>
      <w:r>
        <w:rPr>
          <w:rFonts w:hint="eastAsia" w:ascii="仿宋" w:hAnsi="仿宋" w:eastAsia="仿宋" w:cs="仿宋"/>
          <w:color w:val="auto"/>
          <w:sz w:val="21"/>
          <w:szCs w:val="21"/>
          <w:highlight w:val="none"/>
        </w:rPr>
        <w:t>日</w:t>
      </w:r>
    </w:p>
    <w:p w14:paraId="08F4757E">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65163CA">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7494DCF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40FA310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4B268E74">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25576A41">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041CAA75">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618CEAF5">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2B50E4EE">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26986C8E">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429728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0471B20">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EC799C">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9C3294">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8E0E2">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44285"/>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693DF6"/>
    <w:rsid w:val="0F6949B9"/>
    <w:rsid w:val="0FA7334B"/>
    <w:rsid w:val="11AC1D80"/>
    <w:rsid w:val="11D76808"/>
    <w:rsid w:val="14A213F8"/>
    <w:rsid w:val="15B8653A"/>
    <w:rsid w:val="15C0276A"/>
    <w:rsid w:val="1763479D"/>
    <w:rsid w:val="17B55FF2"/>
    <w:rsid w:val="18A90670"/>
    <w:rsid w:val="190D30A5"/>
    <w:rsid w:val="1A9210DE"/>
    <w:rsid w:val="1C3A718F"/>
    <w:rsid w:val="1D0E6271"/>
    <w:rsid w:val="1E995A6B"/>
    <w:rsid w:val="205F020B"/>
    <w:rsid w:val="262C11AD"/>
    <w:rsid w:val="264D6D44"/>
    <w:rsid w:val="274A49E9"/>
    <w:rsid w:val="29796396"/>
    <w:rsid w:val="2CE76254"/>
    <w:rsid w:val="2D34414E"/>
    <w:rsid w:val="2F5A6DBC"/>
    <w:rsid w:val="30DD6F16"/>
    <w:rsid w:val="316F691B"/>
    <w:rsid w:val="348575AD"/>
    <w:rsid w:val="34F76C36"/>
    <w:rsid w:val="37D130D6"/>
    <w:rsid w:val="382611A3"/>
    <w:rsid w:val="38822413"/>
    <w:rsid w:val="39481A9A"/>
    <w:rsid w:val="3B9823B7"/>
    <w:rsid w:val="3BAC5A4D"/>
    <w:rsid w:val="3E3770BC"/>
    <w:rsid w:val="3EAF1EBE"/>
    <w:rsid w:val="400A0C2B"/>
    <w:rsid w:val="404B0715"/>
    <w:rsid w:val="42650422"/>
    <w:rsid w:val="43AA712C"/>
    <w:rsid w:val="4852620B"/>
    <w:rsid w:val="48AE77F9"/>
    <w:rsid w:val="49916AB0"/>
    <w:rsid w:val="4A1D17C2"/>
    <w:rsid w:val="4C793B3F"/>
    <w:rsid w:val="4D6E11CA"/>
    <w:rsid w:val="4E02772B"/>
    <w:rsid w:val="4F664D9F"/>
    <w:rsid w:val="4F7E26BC"/>
    <w:rsid w:val="508431D1"/>
    <w:rsid w:val="50A373DC"/>
    <w:rsid w:val="52543B4B"/>
    <w:rsid w:val="53193986"/>
    <w:rsid w:val="53B546F8"/>
    <w:rsid w:val="577F2AA1"/>
    <w:rsid w:val="57F435E4"/>
    <w:rsid w:val="581035A9"/>
    <w:rsid w:val="58374651"/>
    <w:rsid w:val="595125A3"/>
    <w:rsid w:val="5A5B7F3B"/>
    <w:rsid w:val="5C3A6E47"/>
    <w:rsid w:val="5EB033F0"/>
    <w:rsid w:val="608B2DCE"/>
    <w:rsid w:val="61D858B1"/>
    <w:rsid w:val="625E7ACB"/>
    <w:rsid w:val="63B82D47"/>
    <w:rsid w:val="67A63303"/>
    <w:rsid w:val="68343DB1"/>
    <w:rsid w:val="68884588"/>
    <w:rsid w:val="6AB0617B"/>
    <w:rsid w:val="713F7586"/>
    <w:rsid w:val="72D75DC2"/>
    <w:rsid w:val="74753B7F"/>
    <w:rsid w:val="74FB6702"/>
    <w:rsid w:val="793D18CD"/>
    <w:rsid w:val="7A073341"/>
    <w:rsid w:val="7B7A6D7B"/>
    <w:rsid w:val="7CEA75F4"/>
    <w:rsid w:val="7D20578D"/>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1542</Words>
  <Characters>1861</Characters>
  <Lines>16</Lines>
  <Paragraphs>4</Paragraphs>
  <TotalTime>14</TotalTime>
  <ScaleCrop>false</ScaleCrop>
  <LinksUpToDate>false</LinksUpToDate>
  <CharactersWithSpaces>2051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庞金辉</cp:lastModifiedBy>
  <cp:lastPrinted>2010-06-13T03:59:00Z</cp:lastPrinted>
  <dcterms:modified xsi:type="dcterms:W3CDTF">2026-02-02T08:23:40Z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842F580E3FF64054A307D88C282C7332_13</vt:lpwstr>
  </property>
  <property fmtid="{D5CDD505-2E9C-101B-9397-08002B2CF9AE}" pid="4" name="KSOTemplateDocerSaveRecord">
    <vt:lpwstr>eyJoZGlkIjoiZmRmZGQ3ZTk2OWNjMzdkMDg5YmQ2MWM0YzI3ZGM5OTYiLCJ1c2VySWQiOiIxNjQ4MzQ0MTk5In0=</vt:lpwstr>
  </property>
</Properties>
</file>